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EC" w:rsidRPr="008E7140" w:rsidRDefault="008E7140" w:rsidP="008E7140">
      <w:pPr>
        <w:jc w:val="center"/>
        <w:rPr>
          <w:b/>
          <w:sz w:val="32"/>
        </w:rPr>
      </w:pPr>
      <w:r w:rsidRPr="008E7140">
        <w:rPr>
          <w:b/>
          <w:sz w:val="32"/>
        </w:rPr>
        <w:t>Regional Technical Operations Workgroup (RTOWG)</w:t>
      </w:r>
    </w:p>
    <w:p w:rsidR="008E7140" w:rsidRDefault="008E7140" w:rsidP="008E7140">
      <w:pPr>
        <w:jc w:val="center"/>
        <w:rPr>
          <w:b/>
          <w:sz w:val="24"/>
        </w:rPr>
      </w:pPr>
      <w:r w:rsidRPr="008E7140">
        <w:rPr>
          <w:b/>
          <w:sz w:val="24"/>
        </w:rPr>
        <w:t xml:space="preserve">Monthly Call – </w:t>
      </w:r>
      <w:r w:rsidR="00CD2EBB">
        <w:rPr>
          <w:b/>
          <w:sz w:val="24"/>
        </w:rPr>
        <w:t>Tuesday, 11/19/19</w:t>
      </w:r>
    </w:p>
    <w:p w:rsidR="00CD2EBB" w:rsidRDefault="00CD2EBB" w:rsidP="009003C2">
      <w:r>
        <w:t>Attendees:</w:t>
      </w:r>
    </w:p>
    <w:tbl>
      <w:tblPr>
        <w:tblW w:w="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3400"/>
      </w:tblGrid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 xml:space="preserve">Amanda </w:t>
            </w: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Brimmer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RAQC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Abdullah Mahmud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36699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CARB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 xml:space="preserve">Bob </w:t>
            </w: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Kotchenruther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EPA Region 10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Brandon McGuire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MT DEQ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David Stroh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North Dakota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Farren</w:t>
            </w:r>
            <w:proofErr w:type="spellEnd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 xml:space="preserve"> Herron-Thorpe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WA DoE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 xml:space="preserve">Gail </w:t>
            </w: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Tonnesen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EPA Region 8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George Milly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Columbia Univ. and HAQAST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 xml:space="preserve">Ken </w:t>
            </w: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Rairigh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WY DEQ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Kevin Briggs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CDPHE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 xml:space="preserve">Kira </w:t>
            </w: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Shonkwiler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CO APCD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Kirk Baker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EPA OAQPS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Leo Ramirez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CARB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Marco Rodriguez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Ramboll</w:t>
            </w:r>
            <w:proofErr w:type="spellEnd"/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Mark Hixson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 xml:space="preserve">Mary </w:t>
            </w: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Uhl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WRAP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Pat Brewer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PFBrewerConsulting</w:t>
            </w:r>
            <w:proofErr w:type="spellEnd"/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Ralph Morris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Ramboll</w:t>
            </w:r>
            <w:proofErr w:type="spellEnd"/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 xml:space="preserve">Rebecca </w:t>
            </w: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Matichuk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EPA Region 8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 xml:space="preserve">Rene </w:t>
            </w: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Nsanzineza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AZ DEQ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Rong</w:t>
            </w:r>
            <w:proofErr w:type="spellEnd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 xml:space="preserve"> Li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ID DEQ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Shawn McClure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CIRA-IWDW/TSS2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 xml:space="preserve">Ted </w:t>
            </w: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Friesner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CIRA-IWDW/TSS2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Tim Allen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FWS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 xml:space="preserve">Tina </w:t>
            </w:r>
            <w:proofErr w:type="spellStart"/>
            <w:r w:rsidRPr="00CD2EBB">
              <w:rPr>
                <w:rFonts w:ascii="Times New Roman" w:eastAsia="Times New Roman" w:hAnsi="Times New Roman" w:cs="Times New Roman"/>
                <w:color w:val="000000"/>
              </w:rPr>
              <w:t>Saurez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CARB</w:t>
            </w:r>
          </w:p>
        </w:tc>
      </w:tr>
      <w:tr w:rsidR="00CD2EBB" w:rsidRPr="00CD2EBB" w:rsidTr="00CD2EBB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Tom Moore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D2EBB" w:rsidRPr="00CD2EBB" w:rsidRDefault="00CD2EBB" w:rsidP="00CD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EBB">
              <w:rPr>
                <w:rFonts w:ascii="Times New Roman" w:eastAsia="Times New Roman" w:hAnsi="Times New Roman" w:cs="Times New Roman"/>
                <w:color w:val="000000"/>
              </w:rPr>
              <w:t>WRAP</w:t>
            </w:r>
          </w:p>
        </w:tc>
      </w:tr>
    </w:tbl>
    <w:p w:rsidR="00CD2EBB" w:rsidRDefault="00CD2EBB" w:rsidP="009003C2"/>
    <w:p w:rsidR="00CD2EBB" w:rsidRPr="00525DF0" w:rsidRDefault="00CD2EBB" w:rsidP="009003C2">
      <w:pPr>
        <w:rPr>
          <w:b/>
        </w:rPr>
      </w:pPr>
      <w:r w:rsidRPr="00525DF0">
        <w:rPr>
          <w:b/>
        </w:rPr>
        <w:t>Ralph Morris (</w:t>
      </w:r>
      <w:proofErr w:type="spellStart"/>
      <w:r w:rsidRPr="00525DF0">
        <w:rPr>
          <w:b/>
        </w:rPr>
        <w:t>Ramboll</w:t>
      </w:r>
      <w:proofErr w:type="spellEnd"/>
      <w:r w:rsidRPr="00525DF0">
        <w:rPr>
          <w:b/>
        </w:rPr>
        <w:t>) discussed status of base modeling and sensitivity runs (see WRAP_2014_Shake-Out_RTOWG_2019-11-19v2.pptx)</w:t>
      </w:r>
    </w:p>
    <w:p w:rsidR="00CD2EBB" w:rsidRDefault="00CD2EBB" w:rsidP="00CD2EBB">
      <w:pPr>
        <w:pStyle w:val="ListParagraph"/>
        <w:numPr>
          <w:ilvl w:val="0"/>
          <w:numId w:val="9"/>
        </w:numPr>
      </w:pPr>
      <w:r>
        <w:t>Review of current ‘phase III’ modeling tasks</w:t>
      </w:r>
    </w:p>
    <w:p w:rsidR="00CD2EBB" w:rsidRDefault="00CD2EBB" w:rsidP="00CD2EBB">
      <w:pPr>
        <w:pStyle w:val="ListParagraph"/>
        <w:numPr>
          <w:ilvl w:val="0"/>
          <w:numId w:val="9"/>
        </w:numPr>
      </w:pPr>
      <w:r>
        <w:t xml:space="preserve">Model schedule delayed by ~week due to fires in </w:t>
      </w:r>
      <w:r w:rsidR="00743399">
        <w:t>California affecting power grid</w:t>
      </w:r>
    </w:p>
    <w:p w:rsidR="00B11D8D" w:rsidRDefault="00B11D8D" w:rsidP="00CD2EBB">
      <w:pPr>
        <w:pStyle w:val="ListParagraph"/>
        <w:numPr>
          <w:ilvl w:val="0"/>
          <w:numId w:val="9"/>
        </w:numPr>
      </w:pPr>
      <w:r>
        <w:t xml:space="preserve">Scope of work somewhat streamlined (e.g., some sensitivity simulations removed/curtailed) to accelerate progress </w:t>
      </w:r>
      <w:r w:rsidR="00743399">
        <w:t>on 2028 simulation</w:t>
      </w:r>
    </w:p>
    <w:p w:rsidR="00B11D8D" w:rsidRDefault="00B11D8D" w:rsidP="00CD2EBB">
      <w:pPr>
        <w:pStyle w:val="ListParagraph"/>
        <w:numPr>
          <w:ilvl w:val="0"/>
          <w:numId w:val="9"/>
        </w:numPr>
      </w:pPr>
      <w:r>
        <w:t>Fire sensitivity simulation</w:t>
      </w:r>
    </w:p>
    <w:p w:rsidR="00B11D8D" w:rsidRDefault="00B11D8D" w:rsidP="00B11D8D">
      <w:pPr>
        <w:pStyle w:val="ListParagraph"/>
        <w:numPr>
          <w:ilvl w:val="1"/>
          <w:numId w:val="9"/>
        </w:numPr>
      </w:pPr>
      <w:r>
        <w:t xml:space="preserve">DEASCO3 v. </w:t>
      </w:r>
      <w:proofErr w:type="spellStart"/>
      <w:r>
        <w:t>Bluesky</w:t>
      </w:r>
      <w:proofErr w:type="spellEnd"/>
      <w:r>
        <w:t xml:space="preserve"> plume rise treatment</w:t>
      </w:r>
    </w:p>
    <w:p w:rsidR="00B11D8D" w:rsidRDefault="00B11D8D" w:rsidP="00B11D8D">
      <w:pPr>
        <w:pStyle w:val="ListParagraph"/>
        <w:numPr>
          <w:ilvl w:val="1"/>
          <w:numId w:val="9"/>
        </w:numPr>
      </w:pPr>
      <w:proofErr w:type="spellStart"/>
      <w:r>
        <w:t>Bluesky</w:t>
      </w:r>
      <w:proofErr w:type="spellEnd"/>
      <w:r>
        <w:t xml:space="preserve"> plume rise treatment significantly more time consuming</w:t>
      </w:r>
    </w:p>
    <w:p w:rsidR="00B11D8D" w:rsidRDefault="00B11D8D" w:rsidP="00B11D8D">
      <w:pPr>
        <w:pStyle w:val="ListParagraph"/>
        <w:numPr>
          <w:ilvl w:val="1"/>
          <w:numId w:val="9"/>
        </w:numPr>
      </w:pPr>
      <w:r>
        <w:lastRenderedPageBreak/>
        <w:t>DEASCO3 typically results in larger impacts closer to the source</w:t>
      </w:r>
    </w:p>
    <w:p w:rsidR="00B11D8D" w:rsidRDefault="00B11D8D" w:rsidP="00B11D8D">
      <w:pPr>
        <w:pStyle w:val="ListParagraph"/>
        <w:numPr>
          <w:ilvl w:val="1"/>
          <w:numId w:val="9"/>
        </w:numPr>
      </w:pPr>
      <w:r>
        <w:t>Model performance for ozone and PM generally similar</w:t>
      </w:r>
      <w:r w:rsidR="00743399">
        <w:t xml:space="preserve"> for both approaches</w:t>
      </w:r>
    </w:p>
    <w:p w:rsidR="00AE1A2B" w:rsidRPr="00AE1A2B" w:rsidRDefault="00AE1A2B" w:rsidP="00AE1A2B">
      <w:pPr>
        <w:pStyle w:val="ListParagraph"/>
        <w:numPr>
          <w:ilvl w:val="1"/>
          <w:numId w:val="9"/>
        </w:numPr>
      </w:pPr>
      <w:r>
        <w:t>Recommended to use</w:t>
      </w:r>
      <w:r w:rsidRPr="00AE1A2B">
        <w:t xml:space="preserve"> WRAP/DEA</w:t>
      </w:r>
      <w:r>
        <w:t>S</w:t>
      </w:r>
      <w:r w:rsidRPr="00AE1A2B">
        <w:t xml:space="preserve">CO3 fires for subsequent </w:t>
      </w:r>
      <w:proofErr w:type="spellStart"/>
      <w:r w:rsidRPr="00AE1A2B">
        <w:t>CAMx</w:t>
      </w:r>
      <w:proofErr w:type="spellEnd"/>
      <w:r w:rsidRPr="00AE1A2B">
        <w:t xml:space="preserve"> modeling due to faster throughput and consistency with future fire sensitivity modeling</w:t>
      </w:r>
    </w:p>
    <w:p w:rsidR="00AE1A2B" w:rsidRDefault="00AE1A2B" w:rsidP="00AE1A2B">
      <w:pPr>
        <w:pStyle w:val="ListParagraph"/>
        <w:numPr>
          <w:ilvl w:val="0"/>
          <w:numId w:val="9"/>
        </w:numPr>
      </w:pPr>
      <w:r>
        <w:t xml:space="preserve">Treatment of explicit elements </w:t>
      </w:r>
      <w:r>
        <w:t>sensitivity simulation</w:t>
      </w:r>
    </w:p>
    <w:p w:rsidR="00AE1A2B" w:rsidRDefault="00AE1A2B" w:rsidP="00AE1A2B">
      <w:pPr>
        <w:pStyle w:val="ListParagraph"/>
        <w:numPr>
          <w:ilvl w:val="1"/>
          <w:numId w:val="9"/>
        </w:numPr>
      </w:pPr>
      <w:proofErr w:type="spellStart"/>
      <w:r w:rsidRPr="00AE1A2B">
        <w:t>CAMx</w:t>
      </w:r>
      <w:proofErr w:type="spellEnd"/>
      <w:r w:rsidRPr="00AE1A2B">
        <w:t xml:space="preserve"> v7.0 includes 8 new explicit elemental species (Fe, Mg, </w:t>
      </w:r>
      <w:proofErr w:type="spellStart"/>
      <w:r w:rsidRPr="00AE1A2B">
        <w:t>Mn</w:t>
      </w:r>
      <w:proofErr w:type="spellEnd"/>
      <w:r w:rsidRPr="00AE1A2B">
        <w:t xml:space="preserve">, Ca, K, Al, Si, </w:t>
      </w:r>
      <w:proofErr w:type="spellStart"/>
      <w:r w:rsidRPr="00AE1A2B">
        <w:t>Ti</w:t>
      </w:r>
      <w:proofErr w:type="spellEnd"/>
      <w:r w:rsidRPr="00AE1A2B">
        <w:t>)</w:t>
      </w:r>
    </w:p>
    <w:p w:rsidR="00AE1A2B" w:rsidRDefault="00AE1A2B" w:rsidP="00AE1A2B">
      <w:pPr>
        <w:pStyle w:val="ListParagraph"/>
        <w:numPr>
          <w:ilvl w:val="2"/>
          <w:numId w:val="9"/>
        </w:numPr>
      </w:pPr>
      <w:r>
        <w:t>CaNO3 may be important with regard to nitrate formation, especially in the summer</w:t>
      </w:r>
    </w:p>
    <w:p w:rsidR="00AE1A2B" w:rsidRDefault="00AE1A2B" w:rsidP="00AE1A2B">
      <w:pPr>
        <w:pStyle w:val="ListParagraph"/>
        <w:numPr>
          <w:ilvl w:val="2"/>
          <w:numId w:val="9"/>
        </w:numPr>
      </w:pPr>
      <w:r>
        <w:t>Elements will influence aqueous-phase chemistry in cloud water droplets</w:t>
      </w:r>
    </w:p>
    <w:p w:rsidR="00AE1A2B" w:rsidRDefault="00AE1A2B" w:rsidP="00AE1A2B">
      <w:pPr>
        <w:pStyle w:val="ListParagraph"/>
        <w:numPr>
          <w:ilvl w:val="1"/>
          <w:numId w:val="9"/>
        </w:numPr>
      </w:pPr>
      <w:r>
        <w:t xml:space="preserve">New version of </w:t>
      </w:r>
      <w:proofErr w:type="spellStart"/>
      <w:r>
        <w:t>CAMx</w:t>
      </w:r>
      <w:proofErr w:type="spellEnd"/>
      <w:r>
        <w:t xml:space="preserve"> gives very similar results with regard to sulfate and nitrate formation;  recommend adopting since it represents updated state-of-</w:t>
      </w:r>
      <w:r w:rsidR="00743399">
        <w:t>science</w:t>
      </w:r>
    </w:p>
    <w:p w:rsidR="00AE1A2B" w:rsidRDefault="00FC303E" w:rsidP="00AE1A2B">
      <w:pPr>
        <w:pStyle w:val="ListParagraph"/>
        <w:numPr>
          <w:ilvl w:val="0"/>
          <w:numId w:val="9"/>
        </w:numPr>
      </w:pPr>
      <w:r>
        <w:t xml:space="preserve">Biogenic emissions </w:t>
      </w:r>
      <w:r>
        <w:t>sensitivity simulation</w:t>
      </w:r>
    </w:p>
    <w:p w:rsidR="00FC303E" w:rsidRDefault="00FC303E" w:rsidP="00FC303E">
      <w:pPr>
        <w:pStyle w:val="ListParagraph"/>
        <w:numPr>
          <w:ilvl w:val="1"/>
          <w:numId w:val="9"/>
        </w:numPr>
      </w:pPr>
      <w:r>
        <w:t>MEGAN and BEIS biogenic emissions models used generate biogenic inventories</w:t>
      </w:r>
    </w:p>
    <w:p w:rsidR="00FC303E" w:rsidRDefault="00FC303E" w:rsidP="00FC303E">
      <w:pPr>
        <w:pStyle w:val="ListParagraph"/>
        <w:numPr>
          <w:ilvl w:val="1"/>
          <w:numId w:val="9"/>
        </w:numPr>
      </w:pPr>
      <w:r>
        <w:t>MEGAN updated to v.3.1</w:t>
      </w:r>
    </w:p>
    <w:p w:rsidR="00FC303E" w:rsidRDefault="00616775" w:rsidP="00FC303E">
      <w:pPr>
        <w:pStyle w:val="ListParagraph"/>
        <w:numPr>
          <w:ilvl w:val="1"/>
          <w:numId w:val="9"/>
        </w:numPr>
      </w:pPr>
      <w:r>
        <w:t>MEGAN 3.1 emissions significantly different than MEGAN 3.0, and more in accord with BEIS</w:t>
      </w:r>
    </w:p>
    <w:p w:rsidR="00616775" w:rsidRDefault="00616775" w:rsidP="00616775">
      <w:pPr>
        <w:pStyle w:val="ListParagraph"/>
        <w:numPr>
          <w:ilvl w:val="1"/>
          <w:numId w:val="9"/>
        </w:numPr>
      </w:pPr>
      <w:r>
        <w:t>BEIS and MEGAN v3.1 PM and ozone</w:t>
      </w:r>
      <w:r w:rsidRPr="00616775">
        <w:t xml:space="preserve"> performance are comparable with BEIS being </w:t>
      </w:r>
      <w:r w:rsidR="00743399">
        <w:t>slightly higher at most sites</w:t>
      </w:r>
    </w:p>
    <w:p w:rsidR="00616775" w:rsidRPr="00525DF0" w:rsidRDefault="00616775" w:rsidP="00616775">
      <w:pPr>
        <w:pStyle w:val="ListParagraph"/>
        <w:numPr>
          <w:ilvl w:val="1"/>
          <w:numId w:val="9"/>
        </w:numPr>
      </w:pPr>
      <w:r w:rsidRPr="00616775">
        <w:rPr>
          <w:lang w:val="en-GB"/>
        </w:rPr>
        <w:t xml:space="preserve">2014v2 </w:t>
      </w:r>
      <w:proofErr w:type="spellStart"/>
      <w:r w:rsidRPr="00616775">
        <w:rPr>
          <w:lang w:val="en-GB"/>
        </w:rPr>
        <w:t>modeling</w:t>
      </w:r>
      <w:proofErr w:type="spellEnd"/>
      <w:r w:rsidRPr="00616775">
        <w:rPr>
          <w:lang w:val="en-GB"/>
        </w:rPr>
        <w:t xml:space="preserve"> ozone performance is better using BEIS than MEGAN so recommend using BEIS for final 2014v2 configuration</w:t>
      </w:r>
    </w:p>
    <w:p w:rsidR="00525DF0" w:rsidRPr="00525DF0" w:rsidRDefault="00525DF0" w:rsidP="00525DF0">
      <w:pPr>
        <w:pStyle w:val="ListParagraph"/>
        <w:numPr>
          <w:ilvl w:val="0"/>
          <w:numId w:val="9"/>
        </w:numPr>
      </w:pPr>
      <w:r>
        <w:rPr>
          <w:lang w:val="en-GB"/>
        </w:rPr>
        <w:t xml:space="preserve">Review of final model configuration for v.1 and v.2 of </w:t>
      </w:r>
      <w:proofErr w:type="spellStart"/>
      <w:r>
        <w:rPr>
          <w:lang w:val="en-GB"/>
        </w:rPr>
        <w:t>CAMx</w:t>
      </w:r>
      <w:proofErr w:type="spellEnd"/>
      <w:r>
        <w:rPr>
          <w:lang w:val="en-GB"/>
        </w:rPr>
        <w:t xml:space="preserve"> and CMAQ</w:t>
      </w:r>
    </w:p>
    <w:p w:rsidR="00525DF0" w:rsidRPr="00525DF0" w:rsidRDefault="00525DF0" w:rsidP="00525DF0">
      <w:pPr>
        <w:pStyle w:val="ListParagraph"/>
        <w:numPr>
          <w:ilvl w:val="1"/>
          <w:numId w:val="9"/>
        </w:numPr>
      </w:pPr>
      <w:r>
        <w:rPr>
          <w:lang w:val="en-GB"/>
        </w:rPr>
        <w:t>Gail – is it possible to include ammonia bi-directional flux scheme in CMAQ?</w:t>
      </w:r>
    </w:p>
    <w:p w:rsidR="00525DF0" w:rsidRPr="00525DF0" w:rsidRDefault="00525DF0" w:rsidP="00525DF0">
      <w:pPr>
        <w:pStyle w:val="ListParagraph"/>
        <w:numPr>
          <w:ilvl w:val="0"/>
          <w:numId w:val="9"/>
        </w:numPr>
      </w:pPr>
      <w:r>
        <w:rPr>
          <w:lang w:val="en-GB"/>
        </w:rPr>
        <w:t xml:space="preserve">Summary of remaining tasks in phase III and phase IV </w:t>
      </w:r>
      <w:proofErr w:type="spellStart"/>
      <w:r>
        <w:rPr>
          <w:lang w:val="en-GB"/>
        </w:rPr>
        <w:t>modeling</w:t>
      </w:r>
      <w:proofErr w:type="spellEnd"/>
    </w:p>
    <w:p w:rsidR="00525DF0" w:rsidRDefault="00525DF0" w:rsidP="00525DF0">
      <w:pPr>
        <w:pStyle w:val="ListParagraph"/>
        <w:numPr>
          <w:ilvl w:val="1"/>
          <w:numId w:val="9"/>
        </w:numPr>
      </w:pPr>
      <w:r>
        <w:t>Phase IV includes 1) dynamic model evaluation and 2) state- and sector-specific source apportionment runs</w:t>
      </w:r>
    </w:p>
    <w:p w:rsidR="00525DF0" w:rsidRPr="00C14C77" w:rsidRDefault="00525DF0" w:rsidP="00525DF0">
      <w:pPr>
        <w:rPr>
          <w:b/>
        </w:rPr>
      </w:pPr>
      <w:r w:rsidRPr="00C14C77">
        <w:rPr>
          <w:b/>
        </w:rPr>
        <w:t xml:space="preserve">Tom Moore reviewed </w:t>
      </w:r>
      <w:r w:rsidR="00C14C77" w:rsidRPr="00C14C77">
        <w:rPr>
          <w:b/>
        </w:rPr>
        <w:t xml:space="preserve">the </w:t>
      </w:r>
      <w:r w:rsidR="00C14C77">
        <w:rPr>
          <w:b/>
        </w:rPr>
        <w:t xml:space="preserve">draft </w:t>
      </w:r>
      <w:r w:rsidR="00C14C77" w:rsidRPr="00C14C77">
        <w:rPr>
          <w:b/>
        </w:rPr>
        <w:t>“WESTAR-WRAP Emissions and Modeling Scenarios” table.</w:t>
      </w:r>
    </w:p>
    <w:p w:rsidR="00C14C77" w:rsidRDefault="00C14C77" w:rsidP="00C14C77">
      <w:pPr>
        <w:pStyle w:val="ListParagraph"/>
        <w:numPr>
          <w:ilvl w:val="0"/>
          <w:numId w:val="10"/>
        </w:numPr>
      </w:pPr>
      <w:r>
        <w:t xml:space="preserve">Current and upcoming </w:t>
      </w:r>
      <w:proofErr w:type="spellStart"/>
      <w:r>
        <w:t>CAMx</w:t>
      </w:r>
      <w:proofErr w:type="spellEnd"/>
      <w:r>
        <w:t xml:space="preserve"> </w:t>
      </w:r>
      <w:r w:rsidR="00743399">
        <w:t>and CMAQ modeling runs outlined</w:t>
      </w:r>
    </w:p>
    <w:p w:rsidR="00C14C77" w:rsidRDefault="00C14C77" w:rsidP="00C14C77">
      <w:pPr>
        <w:pStyle w:val="ListParagraph"/>
        <w:numPr>
          <w:ilvl w:val="0"/>
          <w:numId w:val="10"/>
        </w:numPr>
      </w:pPr>
      <w:r>
        <w:t>Codes assigned to modeling scenarios (e.g., “D2” = 2028 On-the-book e</w:t>
      </w:r>
      <w:r w:rsidR="00743399">
        <w:t>missions with future wildfires</w:t>
      </w:r>
    </w:p>
    <w:p w:rsidR="00C14C77" w:rsidRPr="00C14C77" w:rsidRDefault="00C14C77" w:rsidP="00C14C77">
      <w:pPr>
        <w:rPr>
          <w:b/>
        </w:rPr>
      </w:pPr>
      <w:r w:rsidRPr="00C14C77">
        <w:rPr>
          <w:b/>
        </w:rPr>
        <w:t>Pat Brewer presented the TSS delivery update</w:t>
      </w:r>
    </w:p>
    <w:p w:rsidR="0036699B" w:rsidRDefault="0036699B" w:rsidP="00C14C77">
      <w:pPr>
        <w:pStyle w:val="ListParagraph"/>
        <w:numPr>
          <w:ilvl w:val="0"/>
          <w:numId w:val="11"/>
        </w:numPr>
      </w:pPr>
      <w:r>
        <w:t xml:space="preserve">Discussion of WRAP regional haze delivery process </w:t>
      </w:r>
    </w:p>
    <w:p w:rsidR="0036699B" w:rsidRDefault="0036699B" w:rsidP="0036699B">
      <w:pPr>
        <w:pStyle w:val="ListParagraph"/>
        <w:numPr>
          <w:ilvl w:val="1"/>
          <w:numId w:val="11"/>
        </w:numPr>
      </w:pPr>
      <w:r>
        <w:t>8 steps, detailed in slide 1</w:t>
      </w:r>
    </w:p>
    <w:p w:rsidR="00C14C77" w:rsidRDefault="0036699B" w:rsidP="00C14C77">
      <w:pPr>
        <w:pStyle w:val="ListParagraph"/>
        <w:numPr>
          <w:ilvl w:val="0"/>
          <w:numId w:val="11"/>
        </w:numPr>
      </w:pPr>
      <w:r>
        <w:t>F</w:t>
      </w:r>
      <w:r w:rsidR="00C14C77">
        <w:t>ormat of slide 3 may change</w:t>
      </w:r>
      <w:r w:rsidR="00C14C77">
        <w:t>.</w:t>
      </w:r>
    </w:p>
    <w:p w:rsidR="00C14C77" w:rsidRDefault="00C14C77" w:rsidP="00C14C77">
      <w:pPr>
        <w:pStyle w:val="ListParagraph"/>
        <w:numPr>
          <w:ilvl w:val="0"/>
          <w:numId w:val="11"/>
        </w:numPr>
      </w:pPr>
      <w:proofErr w:type="spellStart"/>
      <w:r>
        <w:t>CAMx</w:t>
      </w:r>
      <w:proofErr w:type="spellEnd"/>
      <w:r>
        <w:t xml:space="preserve"> model runs (e.g., “A2”, “C1”) correspond to modeling table from Tom</w:t>
      </w:r>
    </w:p>
    <w:p w:rsidR="00C14C77" w:rsidRDefault="00C14C77" w:rsidP="00C14C77">
      <w:pPr>
        <w:pStyle w:val="ListParagraph"/>
        <w:numPr>
          <w:ilvl w:val="0"/>
          <w:numId w:val="11"/>
        </w:numPr>
      </w:pPr>
      <w:r>
        <w:t>L</w:t>
      </w:r>
      <w:r>
        <w:t>ast slide is a ‘to do’ list for monitoring/emissions/modeling</w:t>
      </w:r>
    </w:p>
    <w:p w:rsidR="009003C2" w:rsidRDefault="009003C2" w:rsidP="009003C2">
      <w:r>
        <w:t>Next RTOWG call sche</w:t>
      </w:r>
      <w:r w:rsidR="0036699B">
        <w:t>duled for Tues</w:t>
      </w:r>
      <w:r w:rsidR="00743399">
        <w:t xml:space="preserve">day, Dec. 10, 2-3:30pm </w:t>
      </w:r>
      <w:proofErr w:type="gramStart"/>
      <w:r w:rsidR="00743399">
        <w:t>mountain</w:t>
      </w:r>
      <w:proofErr w:type="gramEnd"/>
    </w:p>
    <w:p w:rsidR="00743399" w:rsidRDefault="00743399" w:rsidP="00743399">
      <w:pPr>
        <w:pStyle w:val="ListParagraph"/>
        <w:numPr>
          <w:ilvl w:val="0"/>
          <w:numId w:val="12"/>
        </w:numPr>
      </w:pPr>
      <w:r>
        <w:t>Finish 2014v2 model performance evaluation</w:t>
      </w:r>
    </w:p>
    <w:p w:rsidR="00743399" w:rsidRDefault="00743399" w:rsidP="00743399">
      <w:pPr>
        <w:pStyle w:val="ListParagraph"/>
        <w:numPr>
          <w:ilvl w:val="0"/>
          <w:numId w:val="12"/>
        </w:numPr>
      </w:pPr>
      <w:r>
        <w:t>Representative baseline emission inventory</w:t>
      </w:r>
      <w:bookmarkStart w:id="0" w:name="_GoBack"/>
      <w:bookmarkEnd w:id="0"/>
    </w:p>
    <w:sectPr w:rsidR="0074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515"/>
    <w:multiLevelType w:val="hybridMultilevel"/>
    <w:tmpl w:val="0A9A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5A8D"/>
    <w:multiLevelType w:val="hybridMultilevel"/>
    <w:tmpl w:val="25E4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3FF2"/>
    <w:multiLevelType w:val="hybridMultilevel"/>
    <w:tmpl w:val="EF16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7C6E"/>
    <w:multiLevelType w:val="hybridMultilevel"/>
    <w:tmpl w:val="C3A6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588E"/>
    <w:multiLevelType w:val="hybridMultilevel"/>
    <w:tmpl w:val="9F7A7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B90705"/>
    <w:multiLevelType w:val="hybridMultilevel"/>
    <w:tmpl w:val="DCF6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C101B"/>
    <w:multiLevelType w:val="hybridMultilevel"/>
    <w:tmpl w:val="E064D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8C0504"/>
    <w:multiLevelType w:val="hybridMultilevel"/>
    <w:tmpl w:val="3BF4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10AC7"/>
    <w:multiLevelType w:val="hybridMultilevel"/>
    <w:tmpl w:val="3EBC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C5AF8"/>
    <w:multiLevelType w:val="hybridMultilevel"/>
    <w:tmpl w:val="2D0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02DB8"/>
    <w:multiLevelType w:val="hybridMultilevel"/>
    <w:tmpl w:val="61A2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C3C63"/>
    <w:multiLevelType w:val="hybridMultilevel"/>
    <w:tmpl w:val="CEA8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FD"/>
    <w:rsid w:val="00132B6F"/>
    <w:rsid w:val="0036699B"/>
    <w:rsid w:val="00525DF0"/>
    <w:rsid w:val="00540AEC"/>
    <w:rsid w:val="00601EFD"/>
    <w:rsid w:val="00616775"/>
    <w:rsid w:val="006C315E"/>
    <w:rsid w:val="00743399"/>
    <w:rsid w:val="007E1B1E"/>
    <w:rsid w:val="008E7140"/>
    <w:rsid w:val="009003C2"/>
    <w:rsid w:val="00964B5A"/>
    <w:rsid w:val="00AD2180"/>
    <w:rsid w:val="00AE1A2B"/>
    <w:rsid w:val="00B11D8D"/>
    <w:rsid w:val="00B73E18"/>
    <w:rsid w:val="00C14C77"/>
    <w:rsid w:val="00CD2EBB"/>
    <w:rsid w:val="00CE6B1C"/>
    <w:rsid w:val="00D90BBF"/>
    <w:rsid w:val="00E86401"/>
    <w:rsid w:val="00FC2B49"/>
    <w:rsid w:val="00F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B1C3"/>
  <w15:chartTrackingRefBased/>
  <w15:docId w15:val="{404A3962-D200-4BB6-95F3-D3D9BA25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29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Barna, Michael</dc:creator>
  <cp:keywords/>
  <dc:description/>
  <cp:lastModifiedBy>Barna, Michael</cp:lastModifiedBy>
  <cp:revision>7</cp:revision>
  <dcterms:created xsi:type="dcterms:W3CDTF">2019-11-19T22:08:00Z</dcterms:created>
  <dcterms:modified xsi:type="dcterms:W3CDTF">2019-11-19T23:02:00Z</dcterms:modified>
</cp:coreProperties>
</file>